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08" w:rsidRDefault="00D17D08" w:rsidP="00D17D08">
      <w:pPr>
        <w:pStyle w:val="a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МЕТОДОЛОГИЧЕСКИЕ ПОЯСНЕНИЯ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Экономически активное население </w:t>
      </w:r>
      <w:r>
        <w:rPr>
          <w:rFonts w:ascii="Arial" w:hAnsi="Arial" w:cs="Arial"/>
          <w:color w:val="000000"/>
          <w:sz w:val="20"/>
          <w:szCs w:val="20"/>
        </w:rPr>
        <w:t>- лица в возрасте, установленном для измерения экономической активности населения, которые в рассматриваемый период (обследуемую неделю) считаются занятыми или безработными.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Уровень экономической активности населения </w:t>
      </w:r>
      <w:r>
        <w:rPr>
          <w:rFonts w:ascii="Arial" w:hAnsi="Arial" w:cs="Arial"/>
          <w:color w:val="000000"/>
          <w:sz w:val="20"/>
          <w:szCs w:val="20"/>
        </w:rPr>
        <w:t>- отношение численности экономически активного населения определенной возрастной группы к общей численности населения соответствующей возрастной группы, в процентах.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Занятые в экономике 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лица, которые в рассматриваемый период выполняли оплачиваемую работу по найму, а также приносящую доход работу не по найму как с привлечением, так и без привлечения наемных работников. В численность занятых включаются лица, которые выполняли работу в качестве помогающих на семейном предприятии, лица, которые временно отсутствовали на работе, а также лица, занятые в домашнем хозяйстве производством товаров и услуг для реализации.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Данные о среднегодовой численности занятых в экономике формируются по основной работе один раз в год при составлении баланса трудовых ресурсов на основе сведений организаций, материалов выборочного обследования населения по проблемам занятости, данных органов исполнительной власти,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досчетов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численности занятых, не выявленной при проведении выборочного обследования населения по проблемам занятости.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1995 г. данные о среднегодовой численности занятых в экономике приведены с учетом лиц, занятых в домашнем хозяйстве производством продукции для реализации. За 1990 год данная категория лиц учтена только в целом по России.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Уровень занятости</w:t>
      </w:r>
      <w:r>
        <w:rPr>
          <w:rFonts w:ascii="Arial" w:hAnsi="Arial" w:cs="Arial"/>
          <w:color w:val="000000"/>
          <w:sz w:val="20"/>
          <w:szCs w:val="20"/>
        </w:rPr>
        <w:t> - отношение численности занятого населения определенной возрастной группы к общей численности населения соответствующей возрастной группы, в процентах.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безработным, </w:t>
      </w:r>
      <w:r>
        <w:rPr>
          <w:rFonts w:ascii="Arial" w:hAnsi="Arial" w:cs="Arial"/>
          <w:color w:val="000000"/>
          <w:sz w:val="20"/>
          <w:szCs w:val="20"/>
        </w:rPr>
        <w:t>применительно к стандартам Международной организации труда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(МОТ), относятся лица в возрасте, установленном для измерения экономической активности, которые в рассматриваемый период (обследуемую неделю) одновременно удовлетворяли следующим критериям: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имели работы (доходного занятия);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занимались поиском работы, т.е. обращались в государственную или коммерческую службу занятости, использовали или помещали объявления в печати, непосредственно обращались к администрации организации или работодателю, использовали личные связи и т.д. или предпринимали шаги к организации собственного дела;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были готовы приступить к работе в течение обследуемой недели.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Учащиеся, студенты, пенсионеры и инвалиды учитываются в качестве безработных, если они занимались поиском работы и были готовы приступить к ней.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Данные о</w:t>
      </w:r>
      <w:r>
        <w:rPr>
          <w:rFonts w:ascii="Arial" w:hAnsi="Arial" w:cs="Arial"/>
          <w:b/>
          <w:bCs/>
          <w:color w:val="000000"/>
          <w:sz w:val="20"/>
          <w:szCs w:val="20"/>
        </w:rPr>
        <w:t> численности экономически активного населения, численности безработных </w:t>
      </w:r>
      <w:r>
        <w:rPr>
          <w:rFonts w:ascii="Arial" w:hAnsi="Arial" w:cs="Arial"/>
          <w:color w:val="000000"/>
          <w:sz w:val="20"/>
          <w:szCs w:val="20"/>
        </w:rPr>
        <w:t>(применительно к стандартам МОТ) и их</w:t>
      </w:r>
      <w:r>
        <w:rPr>
          <w:rFonts w:ascii="Arial" w:hAnsi="Arial" w:cs="Arial"/>
          <w:b/>
          <w:bCs/>
          <w:color w:val="000000"/>
          <w:sz w:val="20"/>
          <w:szCs w:val="20"/>
        </w:rPr>
        <w:t> составе, составе занятого населения</w:t>
      </w:r>
      <w:r>
        <w:rPr>
          <w:rFonts w:ascii="Arial" w:hAnsi="Arial" w:cs="Arial"/>
          <w:color w:val="000000"/>
          <w:sz w:val="20"/>
          <w:szCs w:val="20"/>
        </w:rPr>
        <w:t> получены по материалам выборочных обследований населения по проблемам занятости, проводимых статистическими органами начиная с октября 1992 г. во всех субъектах Российской Федерации, кроме Чеченской Республики.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Материалы выборочных обследований населения по проблемам занятости представлены: 1995 г. - на конец октября, 2000 - 2005 гг. - в среднем за год.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Начиная с 1999 г.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обследование населения по проблемам занятости</w:t>
      </w:r>
      <w:r>
        <w:rPr>
          <w:rFonts w:ascii="Arial" w:hAnsi="Arial" w:cs="Arial"/>
          <w:color w:val="000000"/>
          <w:sz w:val="20"/>
          <w:szCs w:val="20"/>
        </w:rPr>
        <w:t xml:space="preserve"> проводится с квартальной периодичностью по состоянию на последнюю неделю второго месяца квартала: февраля, мая, августа, ноября. Обследование охватывает за квартал около 69 тысяч человек в возрасте от 15 до 72 лет (0,06% от численности населения этого возраста), в расчете на год около 270 тысяч </w:t>
      </w:r>
      <w:r>
        <w:rPr>
          <w:rFonts w:ascii="Arial" w:hAnsi="Arial" w:cs="Arial"/>
          <w:color w:val="000000"/>
          <w:sz w:val="20"/>
          <w:szCs w:val="20"/>
        </w:rPr>
        <w:lastRenderedPageBreak/>
        <w:t>человек (0,25%). Выборка строится таким образом, что в каждом квартале все единицы наблюдения заменяются новыми. Размер квартальной выборки обеспечивает получение представительных итогов в пределах заданной степени точности и разрезов разработки в целом по Российской Федерации. По субъектам Российской Федерации представительные итоги формируются на основании объединения массивов четырех последовательных квартальных выборок, что увеличивает объем анализируемой выборочной совокупности, а также устраняет влияние сезонных колебаний. Данные по показателям занятости и безработицы, сформированные на основе объединенных массивов четырех последовательных квартальных опросов, являются средними за определенный период.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Безработные, зарегистрированные в органах государственной службы занятости -</w:t>
      </w:r>
      <w:r>
        <w:rPr>
          <w:rFonts w:ascii="Arial" w:hAnsi="Arial" w:cs="Arial"/>
          <w:color w:val="000000"/>
          <w:sz w:val="20"/>
          <w:szCs w:val="20"/>
        </w:rPr>
        <w:t> трудоспособные граждане, не имеющие работы и заработка (трудового дохода), проживающие на территории Российской Федерации, зарегистрированные в органах службы занятости по месту жительства в целях поиска подходящей работы, ищущие работу и готовые приступить к ней.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Уровень безработицы </w:t>
      </w:r>
      <w:r>
        <w:rPr>
          <w:rFonts w:ascii="Arial" w:hAnsi="Arial" w:cs="Arial"/>
          <w:color w:val="000000"/>
          <w:sz w:val="20"/>
          <w:szCs w:val="20"/>
        </w:rPr>
        <w:t>(применительно к стандартам МОТ) определяется как отношение численности безработных определенной возрастной группы к численности экономически активного населения соответствующей возрастной группы, в процентах.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Уровень безработицы,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зарегистрированной в органах государственной службы занятости</w:t>
      </w:r>
      <w:r>
        <w:rPr>
          <w:rFonts w:ascii="Arial" w:hAnsi="Arial" w:cs="Arial"/>
          <w:color w:val="000000"/>
          <w:sz w:val="20"/>
          <w:szCs w:val="20"/>
        </w:rPr>
        <w:t> - отношение численности безработных, зарегистрированных в органах государственной службы занятости, к численности экономически активного населения, в процентах.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Потребность в работниках, заявленная организациями </w:t>
      </w:r>
      <w:r>
        <w:rPr>
          <w:rFonts w:ascii="Arial" w:hAnsi="Arial" w:cs="Arial"/>
          <w:color w:val="000000"/>
          <w:sz w:val="20"/>
          <w:szCs w:val="20"/>
        </w:rPr>
        <w:t>- число вакансий (требуемых работников), сообщенных организациями в органы государственной службы занятости.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Данные об общей численности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работников, занятых в органах государственной власти и местного самоуправления</w:t>
      </w:r>
      <w:r>
        <w:rPr>
          <w:rFonts w:ascii="Arial" w:hAnsi="Arial" w:cs="Arial"/>
          <w:color w:val="000000"/>
          <w:sz w:val="20"/>
          <w:szCs w:val="20"/>
        </w:rPr>
        <w:t>, подготовлены по материалам статистических наблюдений: 1995 г. - за сентябрь, 2000 - 2005 гг. - на конец года (списочная численность). Указанная информация разработана без учета персонала Минобороны России, МВД России, других органов, обеспечивающих правопорядок и охрану безопасности государства, до 2002 г. - без таможен (получили статус территориальных органов ФТС России в 2002 г.), в структуре органов исполнительной власти в соответствии с Указами Президента Российской Федерации от 9 марта 2004 г. № 314 (в редакции от 23 декабря 2005 г.) и от 20 мая 2004 г. № 649 (в редакции от 3 октября 2005 г.).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Данные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 общей численности работников, занятых в органах государственной власти и местного самоуправления</w:t>
      </w:r>
      <w:r>
        <w:rPr>
          <w:rFonts w:ascii="Arial" w:hAnsi="Arial" w:cs="Arial"/>
          <w:color w:val="000000"/>
          <w:sz w:val="20"/>
          <w:szCs w:val="20"/>
        </w:rPr>
        <w:t>, приведены по ветвям власти.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сводные итоги о численности работников органов государственной власти и местного самоуправления Российской Федерации включены данные о работниках: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органов законодательной власти Российской Федерации</w:t>
      </w:r>
      <w:r>
        <w:rPr>
          <w:rFonts w:ascii="Arial" w:hAnsi="Arial" w:cs="Arial"/>
          <w:color w:val="000000"/>
          <w:sz w:val="20"/>
          <w:szCs w:val="20"/>
        </w:rPr>
        <w:t> - федеральных (аппаратов палат Федерального Собрания Российской Федерации: Государственной Думы и Совета Федерации), законодательных органов субъектов Российской Федерации и с 1999 г. - представительных органов местного самоуправления;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органов исполнительной власти Российской Федерации</w:t>
      </w:r>
      <w:r>
        <w:rPr>
          <w:rFonts w:ascii="Arial" w:hAnsi="Arial" w:cs="Arial"/>
          <w:color w:val="000000"/>
          <w:sz w:val="20"/>
          <w:szCs w:val="20"/>
        </w:rPr>
        <w:t> - федеральных (Аппарата Правительства Российской Федерации, федеральных министерств и ведомств, их территориальных органов), исполнительных органов субъектов Российской Федерации и органов местного самоуправления с исполнительными функциями.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итоги по федеральным органам исполнительной власти включены данные по Администрации Президента Российской Федерации и аппаратам полномочных представителей Президента Российской Федерации в федеральных округах (до 2000 г. - по представительствам Президента Российской Федерации в субъектах Российской Федерации), органам при Правительстве Российской Федерации, министерствах и ведомствах, осуществляющим функции государственного регулирования в соответствующей сфере деятельности;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органов судебной власти и прокуратуры Российской Федерации</w:t>
      </w:r>
      <w:r>
        <w:rPr>
          <w:rFonts w:ascii="Arial" w:hAnsi="Arial" w:cs="Arial"/>
          <w:color w:val="000000"/>
          <w:sz w:val="20"/>
          <w:szCs w:val="20"/>
        </w:rPr>
        <w:t> - федеральных (Конституционного Суда Российской Федерации, Верховного Суда Российской Федерации, судов общей юрисдикции в субъектах Российской Федерации, Высшего Арбитражного Суда Российской Федерации и арбитражных судов в субъектах Российской Федерации, Генеральной прокуратуры Российской Федерации и органов прокуратуры в субъектах Российской Федерации (включая транспортные и специализированные), Судебного департамента при Верховном Суде Российской Федерации и его территориальных управлений (отделов)), органов судебной власти субъектов Российской Федерации (конституционных судов субъектов Российской Федерации, с 2000 г. - мировых судей и аппаратов, обеспечивающих их деятельность);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других государственных органов Российской Федерации</w:t>
      </w:r>
      <w:r>
        <w:rPr>
          <w:rFonts w:ascii="Arial" w:hAnsi="Arial" w:cs="Arial"/>
          <w:color w:val="000000"/>
          <w:sz w:val="20"/>
          <w:szCs w:val="20"/>
        </w:rPr>
        <w:t> - федеральных: Счетной палаты Российской Федерации, Центральной избирательной комиссии Российской Федерации, с 1998 г. - Аппарата Уполномоченного по правам человека, аналогичных органов субъектов Российской Федерации.</w:t>
      </w:r>
    </w:p>
    <w:p w:rsidR="00D17D08" w:rsidRDefault="00D17D08" w:rsidP="00D17D0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по автономным образованиям включены в данные по краю и областям, в состав которых они входят.</w:t>
      </w:r>
    </w:p>
    <w:p w:rsidR="00FB2369" w:rsidRDefault="00FB2369">
      <w:bookmarkStart w:id="0" w:name="_GoBack"/>
      <w:bookmarkEnd w:id="0"/>
    </w:p>
    <w:sectPr w:rsidR="00FB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08"/>
    <w:rsid w:val="00D17D08"/>
    <w:rsid w:val="00F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FC14-7B08-43DE-ABFD-6E84F50F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Виктор Гайкович</dc:creator>
  <cp:keywords/>
  <dc:description/>
  <cp:lastModifiedBy>Лазарев Виктор Гайкович</cp:lastModifiedBy>
  <cp:revision>1</cp:revision>
  <dcterms:created xsi:type="dcterms:W3CDTF">2018-12-19T10:37:00Z</dcterms:created>
  <dcterms:modified xsi:type="dcterms:W3CDTF">2018-12-19T10:37:00Z</dcterms:modified>
</cp:coreProperties>
</file>